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8C71" w14:textId="77777777" w:rsidR="00905CCC" w:rsidRDefault="00905CCC" w:rsidP="00905CCC">
      <w:pPr>
        <w:spacing w:after="0"/>
        <w:jc w:val="center"/>
        <w:rPr>
          <w:rFonts w:ascii="Garamond" w:hAnsi="Garamond"/>
          <w:b/>
          <w:bCs/>
          <w:color w:val="FF33CC"/>
          <w:sz w:val="28"/>
          <w:szCs w:val="28"/>
        </w:rPr>
      </w:pPr>
      <w:bookmarkStart w:id="0" w:name="_GoBack"/>
      <w:bookmarkEnd w:id="0"/>
      <w:r>
        <w:rPr>
          <w:rFonts w:ascii="Garamond" w:hAnsi="Garamond"/>
          <w:b/>
          <w:bCs/>
          <w:color w:val="FF33CC"/>
          <w:sz w:val="28"/>
          <w:szCs w:val="28"/>
        </w:rPr>
        <w:t xml:space="preserve">Muskingum University </w:t>
      </w:r>
    </w:p>
    <w:p w14:paraId="705BA34F" w14:textId="514F027C" w:rsidR="00905CCC" w:rsidRPr="00905CCC" w:rsidRDefault="00905CCC" w:rsidP="000D2871">
      <w:pPr>
        <w:spacing w:after="0"/>
        <w:jc w:val="center"/>
        <w:rPr>
          <w:rFonts w:ascii="Garamond" w:hAnsi="Garamond"/>
          <w:b/>
          <w:bCs/>
          <w:color w:val="FF33CC"/>
          <w:sz w:val="28"/>
          <w:szCs w:val="28"/>
        </w:rPr>
      </w:pPr>
      <w:r>
        <w:rPr>
          <w:rFonts w:ascii="Garamond" w:hAnsi="Garamond"/>
          <w:b/>
          <w:bCs/>
          <w:color w:val="FF33CC"/>
          <w:sz w:val="28"/>
          <w:szCs w:val="28"/>
        </w:rPr>
        <w:t>Education Department</w:t>
      </w:r>
    </w:p>
    <w:p w14:paraId="7E824B5C" w14:textId="77777777" w:rsidR="00905CCC" w:rsidRDefault="00905CCC" w:rsidP="000D2871">
      <w:pPr>
        <w:spacing w:after="0"/>
        <w:jc w:val="center"/>
        <w:rPr>
          <w:rFonts w:ascii="Garamond" w:hAnsi="Garamond"/>
          <w:b/>
          <w:bCs/>
          <w:sz w:val="28"/>
          <w:szCs w:val="28"/>
        </w:rPr>
      </w:pPr>
    </w:p>
    <w:p w14:paraId="604FC033" w14:textId="7A6F5A2D" w:rsidR="000D2871" w:rsidRDefault="008A43B1" w:rsidP="000D2871">
      <w:pPr>
        <w:spacing w:after="0"/>
        <w:jc w:val="center"/>
        <w:rPr>
          <w:rFonts w:ascii="Garamond" w:hAnsi="Garamond"/>
          <w:b/>
          <w:bCs/>
          <w:sz w:val="28"/>
          <w:szCs w:val="28"/>
        </w:rPr>
      </w:pPr>
      <w:r>
        <w:rPr>
          <w:rFonts w:ascii="Garamond" w:hAnsi="Garamond"/>
          <w:b/>
          <w:bCs/>
          <w:sz w:val="28"/>
          <w:szCs w:val="28"/>
        </w:rPr>
        <w:t>Title II Completer Information</w:t>
      </w:r>
    </w:p>
    <w:p w14:paraId="30E95CA6" w14:textId="6F93A9AC" w:rsidR="000D2871" w:rsidRDefault="000D2871" w:rsidP="000D2871">
      <w:pPr>
        <w:spacing w:after="0"/>
        <w:jc w:val="center"/>
        <w:rPr>
          <w:rFonts w:ascii="Garamond" w:hAnsi="Garamond"/>
          <w:b/>
          <w:bCs/>
          <w:sz w:val="28"/>
          <w:szCs w:val="28"/>
        </w:rPr>
      </w:pPr>
      <w:r>
        <w:rPr>
          <w:rFonts w:ascii="Garamond" w:hAnsi="Garamond"/>
          <w:b/>
          <w:bCs/>
          <w:sz w:val="28"/>
          <w:szCs w:val="28"/>
        </w:rPr>
        <w:t>Academic Year 2020-2021</w:t>
      </w:r>
    </w:p>
    <w:p w14:paraId="18F4764C" w14:textId="77777777" w:rsidR="00B73A78" w:rsidRDefault="00B73A78" w:rsidP="00B73A78">
      <w:pPr>
        <w:spacing w:after="0"/>
        <w:rPr>
          <w:rFonts w:ascii="Garamond" w:hAnsi="Garamond"/>
          <w:sz w:val="24"/>
          <w:szCs w:val="24"/>
        </w:rPr>
      </w:pPr>
    </w:p>
    <w:p w14:paraId="629DB4F5" w14:textId="01E05F95" w:rsidR="000D2871" w:rsidRDefault="000D2871" w:rsidP="000D2871">
      <w:pPr>
        <w:spacing w:after="0"/>
        <w:jc w:val="center"/>
        <w:rPr>
          <w:rFonts w:ascii="Garamond" w:hAnsi="Garamond"/>
          <w:b/>
          <w:bCs/>
          <w:sz w:val="28"/>
          <w:szCs w:val="28"/>
        </w:rPr>
      </w:pPr>
    </w:p>
    <w:p w14:paraId="4EF2487A" w14:textId="77777777" w:rsidR="008A43B1" w:rsidRPr="008A43B1" w:rsidRDefault="008A43B1" w:rsidP="008A43B1">
      <w:pPr>
        <w:spacing w:after="0"/>
        <w:rPr>
          <w:rFonts w:ascii="Garamond" w:hAnsi="Garamond"/>
          <w:sz w:val="24"/>
          <w:szCs w:val="24"/>
        </w:rPr>
      </w:pPr>
      <w:r w:rsidRPr="008A43B1">
        <w:rPr>
          <w:rFonts w:ascii="Garamond" w:hAnsi="Garamond"/>
          <w:sz w:val="24"/>
          <w:szCs w:val="24"/>
        </w:rPr>
        <w:t xml:space="preserve">Under Title II of the Higher Education Act, teacher preparation providers, including institutions of higher education (IHEs) that conduct teacher preparation programs must annually collect and submit information to their respective states.  States, in turn submit annual reports cards on teacher preparation and credentialing to the U.S. Department of Education.  Both quantitative data on the Title II report as well as the qualitative data on the Institutional Program Report Card (IPRC) were submitted for the 2020-2021 academic year. </w:t>
      </w:r>
    </w:p>
    <w:p w14:paraId="3FD34E22" w14:textId="77777777" w:rsidR="008A43B1" w:rsidRPr="008A43B1" w:rsidRDefault="008A43B1" w:rsidP="008A43B1">
      <w:pPr>
        <w:spacing w:after="0"/>
        <w:rPr>
          <w:rFonts w:ascii="Garamond" w:hAnsi="Garamond"/>
          <w:sz w:val="24"/>
          <w:szCs w:val="24"/>
        </w:rPr>
      </w:pPr>
    </w:p>
    <w:p w14:paraId="17BF861D" w14:textId="286931B7" w:rsidR="000D2871" w:rsidRPr="008A43B1" w:rsidRDefault="008A43B1" w:rsidP="008A43B1">
      <w:pPr>
        <w:spacing w:after="0"/>
        <w:rPr>
          <w:rFonts w:ascii="Garamond" w:hAnsi="Garamond"/>
          <w:sz w:val="24"/>
          <w:szCs w:val="24"/>
        </w:rPr>
      </w:pPr>
      <w:r w:rsidRPr="008A43B1">
        <w:rPr>
          <w:rFonts w:ascii="Garamond" w:hAnsi="Garamond"/>
          <w:sz w:val="24"/>
          <w:szCs w:val="24"/>
        </w:rPr>
        <w:t xml:space="preserve">The Title II Report on the Quality of Teacher Education is prepared and submitted annually by the Education Department at Muskingum University.  The information from the reports provides essential data to inform the continued success to Encourage, Empower and Equip the Muskingum teacher candidates for careers as educators in Ohio.  </w:t>
      </w:r>
    </w:p>
    <w:p w14:paraId="6822FC8F" w14:textId="66A4F845" w:rsidR="008A1E37" w:rsidRDefault="008A1E37" w:rsidP="008A43B1">
      <w:pPr>
        <w:spacing w:after="0"/>
        <w:rPr>
          <w:rFonts w:ascii="Garamond" w:hAnsi="Garamond"/>
          <w:sz w:val="24"/>
          <w:szCs w:val="24"/>
        </w:rPr>
      </w:pPr>
    </w:p>
    <w:tbl>
      <w:tblPr>
        <w:tblStyle w:val="TableGrid"/>
        <w:tblW w:w="0" w:type="auto"/>
        <w:tblLook w:val="04A0" w:firstRow="1" w:lastRow="0" w:firstColumn="1" w:lastColumn="0" w:noHBand="0" w:noVBand="1"/>
      </w:tblPr>
      <w:tblGrid>
        <w:gridCol w:w="3788"/>
        <w:gridCol w:w="3789"/>
        <w:gridCol w:w="3789"/>
      </w:tblGrid>
      <w:tr w:rsidR="008A43B1" w14:paraId="4EBA91D9" w14:textId="77777777" w:rsidTr="002655C8">
        <w:tc>
          <w:tcPr>
            <w:tcW w:w="11366" w:type="dxa"/>
            <w:gridSpan w:val="3"/>
          </w:tcPr>
          <w:p w14:paraId="2B0DE297" w14:textId="6C758BB1" w:rsidR="008A43B1" w:rsidRPr="008A43B1" w:rsidRDefault="008A43B1" w:rsidP="008A43B1">
            <w:pPr>
              <w:jc w:val="center"/>
              <w:rPr>
                <w:rFonts w:ascii="Garamond" w:hAnsi="Garamond"/>
                <w:b/>
                <w:bCs/>
                <w:sz w:val="24"/>
                <w:szCs w:val="24"/>
              </w:rPr>
            </w:pPr>
            <w:r w:rsidRPr="008A43B1">
              <w:rPr>
                <w:rFonts w:ascii="Garamond" w:hAnsi="Garamond"/>
                <w:b/>
                <w:bCs/>
                <w:sz w:val="24"/>
                <w:szCs w:val="24"/>
              </w:rPr>
              <w:t>State Rating: Effective</w:t>
            </w:r>
          </w:p>
        </w:tc>
      </w:tr>
      <w:tr w:rsidR="008A43B1" w14:paraId="1BDB5A26" w14:textId="77777777" w:rsidTr="008A43B1">
        <w:tc>
          <w:tcPr>
            <w:tcW w:w="3788" w:type="dxa"/>
            <w:shd w:val="clear" w:color="auto" w:fill="F2F2F2" w:themeFill="background1" w:themeFillShade="F2"/>
          </w:tcPr>
          <w:p w14:paraId="667A0740" w14:textId="53767AB0" w:rsidR="008A43B1" w:rsidRPr="008A43B1" w:rsidRDefault="008A43B1" w:rsidP="008A43B1">
            <w:pPr>
              <w:jc w:val="center"/>
              <w:rPr>
                <w:rFonts w:ascii="Garamond" w:hAnsi="Garamond"/>
                <w:b/>
                <w:bCs/>
                <w:sz w:val="24"/>
                <w:szCs w:val="24"/>
              </w:rPr>
            </w:pPr>
            <w:r w:rsidRPr="008A43B1">
              <w:rPr>
                <w:rFonts w:ascii="Garamond" w:hAnsi="Garamond"/>
                <w:b/>
                <w:bCs/>
                <w:sz w:val="24"/>
                <w:szCs w:val="24"/>
              </w:rPr>
              <w:t>Year</w:t>
            </w:r>
          </w:p>
        </w:tc>
        <w:tc>
          <w:tcPr>
            <w:tcW w:w="3789" w:type="dxa"/>
            <w:shd w:val="clear" w:color="auto" w:fill="F2F2F2" w:themeFill="background1" w:themeFillShade="F2"/>
          </w:tcPr>
          <w:p w14:paraId="7274FEC9" w14:textId="4B07BC40" w:rsidR="008A43B1" w:rsidRPr="008A43B1" w:rsidRDefault="008A43B1" w:rsidP="008A43B1">
            <w:pPr>
              <w:jc w:val="center"/>
              <w:rPr>
                <w:rFonts w:ascii="Garamond" w:hAnsi="Garamond"/>
                <w:b/>
                <w:bCs/>
                <w:sz w:val="24"/>
                <w:szCs w:val="24"/>
              </w:rPr>
            </w:pPr>
            <w:r w:rsidRPr="008A43B1">
              <w:rPr>
                <w:rFonts w:ascii="Garamond" w:hAnsi="Garamond"/>
                <w:b/>
                <w:bCs/>
                <w:sz w:val="24"/>
                <w:szCs w:val="24"/>
              </w:rPr>
              <w:t>Completers</w:t>
            </w:r>
          </w:p>
        </w:tc>
        <w:tc>
          <w:tcPr>
            <w:tcW w:w="3789" w:type="dxa"/>
            <w:shd w:val="clear" w:color="auto" w:fill="F2F2F2" w:themeFill="background1" w:themeFillShade="F2"/>
          </w:tcPr>
          <w:p w14:paraId="0D5F4B60" w14:textId="05A91D30" w:rsidR="008A43B1" w:rsidRPr="008A43B1" w:rsidRDefault="008A43B1" w:rsidP="008A43B1">
            <w:pPr>
              <w:jc w:val="center"/>
              <w:rPr>
                <w:rFonts w:ascii="Garamond" w:hAnsi="Garamond"/>
                <w:b/>
                <w:bCs/>
                <w:sz w:val="24"/>
                <w:szCs w:val="24"/>
              </w:rPr>
            </w:pPr>
            <w:r w:rsidRPr="008A43B1">
              <w:rPr>
                <w:rFonts w:ascii="Garamond" w:hAnsi="Garamond"/>
                <w:b/>
                <w:bCs/>
                <w:sz w:val="24"/>
                <w:szCs w:val="24"/>
              </w:rPr>
              <w:t>Pass Rate</w:t>
            </w:r>
          </w:p>
        </w:tc>
      </w:tr>
      <w:tr w:rsidR="008A43B1" w14:paraId="0E320ACB" w14:textId="77777777" w:rsidTr="008A43B1">
        <w:tc>
          <w:tcPr>
            <w:tcW w:w="3788" w:type="dxa"/>
          </w:tcPr>
          <w:p w14:paraId="491E2717" w14:textId="2554E727" w:rsidR="008A43B1" w:rsidRDefault="008A43B1" w:rsidP="008A43B1">
            <w:pPr>
              <w:jc w:val="center"/>
              <w:rPr>
                <w:rFonts w:ascii="Garamond" w:hAnsi="Garamond"/>
                <w:sz w:val="24"/>
                <w:szCs w:val="24"/>
              </w:rPr>
            </w:pPr>
            <w:r>
              <w:rPr>
                <w:rFonts w:ascii="Garamond" w:hAnsi="Garamond"/>
                <w:sz w:val="24"/>
                <w:szCs w:val="24"/>
              </w:rPr>
              <w:t>2020-2021</w:t>
            </w:r>
          </w:p>
        </w:tc>
        <w:tc>
          <w:tcPr>
            <w:tcW w:w="3789" w:type="dxa"/>
          </w:tcPr>
          <w:p w14:paraId="24CE7B8B" w14:textId="67B1A54C" w:rsidR="008A43B1" w:rsidRDefault="008A43B1" w:rsidP="008A43B1">
            <w:pPr>
              <w:jc w:val="center"/>
              <w:rPr>
                <w:rFonts w:ascii="Garamond" w:hAnsi="Garamond"/>
                <w:sz w:val="24"/>
                <w:szCs w:val="24"/>
              </w:rPr>
            </w:pPr>
            <w:r>
              <w:rPr>
                <w:rFonts w:ascii="Garamond" w:hAnsi="Garamond"/>
                <w:sz w:val="24"/>
                <w:szCs w:val="24"/>
              </w:rPr>
              <w:t>90</w:t>
            </w:r>
          </w:p>
        </w:tc>
        <w:tc>
          <w:tcPr>
            <w:tcW w:w="3789" w:type="dxa"/>
          </w:tcPr>
          <w:p w14:paraId="20664356" w14:textId="038B9DD4" w:rsidR="008A43B1" w:rsidRDefault="008A43B1" w:rsidP="008A43B1">
            <w:pPr>
              <w:jc w:val="center"/>
              <w:rPr>
                <w:rFonts w:ascii="Garamond" w:hAnsi="Garamond"/>
                <w:sz w:val="24"/>
                <w:szCs w:val="24"/>
              </w:rPr>
            </w:pPr>
            <w:r>
              <w:rPr>
                <w:rFonts w:ascii="Garamond" w:hAnsi="Garamond"/>
                <w:sz w:val="24"/>
                <w:szCs w:val="24"/>
              </w:rPr>
              <w:t>100%</w:t>
            </w:r>
          </w:p>
        </w:tc>
      </w:tr>
      <w:tr w:rsidR="008A43B1" w14:paraId="2C82D517" w14:textId="77777777" w:rsidTr="008A43B1">
        <w:tc>
          <w:tcPr>
            <w:tcW w:w="3788" w:type="dxa"/>
          </w:tcPr>
          <w:p w14:paraId="30D4CB57" w14:textId="424613ED" w:rsidR="008A43B1" w:rsidRDefault="008A43B1" w:rsidP="008A43B1">
            <w:pPr>
              <w:jc w:val="center"/>
              <w:rPr>
                <w:rFonts w:ascii="Garamond" w:hAnsi="Garamond"/>
                <w:sz w:val="24"/>
                <w:szCs w:val="24"/>
              </w:rPr>
            </w:pPr>
            <w:r>
              <w:rPr>
                <w:rFonts w:ascii="Garamond" w:hAnsi="Garamond"/>
                <w:sz w:val="24"/>
                <w:szCs w:val="24"/>
              </w:rPr>
              <w:t>2019-2020</w:t>
            </w:r>
          </w:p>
        </w:tc>
        <w:tc>
          <w:tcPr>
            <w:tcW w:w="3789" w:type="dxa"/>
          </w:tcPr>
          <w:p w14:paraId="6E8987EB" w14:textId="39933473" w:rsidR="008A43B1" w:rsidRDefault="008A43B1" w:rsidP="008A43B1">
            <w:pPr>
              <w:jc w:val="center"/>
              <w:rPr>
                <w:rFonts w:ascii="Garamond" w:hAnsi="Garamond"/>
                <w:sz w:val="24"/>
                <w:szCs w:val="24"/>
              </w:rPr>
            </w:pPr>
            <w:r>
              <w:rPr>
                <w:rFonts w:ascii="Garamond" w:hAnsi="Garamond"/>
                <w:sz w:val="24"/>
                <w:szCs w:val="24"/>
              </w:rPr>
              <w:t>52</w:t>
            </w:r>
          </w:p>
        </w:tc>
        <w:tc>
          <w:tcPr>
            <w:tcW w:w="3789" w:type="dxa"/>
          </w:tcPr>
          <w:p w14:paraId="2D302EDE" w14:textId="05FF19AA" w:rsidR="008A43B1" w:rsidRDefault="008A43B1" w:rsidP="008A43B1">
            <w:pPr>
              <w:jc w:val="center"/>
              <w:rPr>
                <w:rFonts w:ascii="Garamond" w:hAnsi="Garamond"/>
                <w:sz w:val="24"/>
                <w:szCs w:val="24"/>
              </w:rPr>
            </w:pPr>
            <w:r>
              <w:rPr>
                <w:rFonts w:ascii="Garamond" w:hAnsi="Garamond"/>
                <w:sz w:val="24"/>
                <w:szCs w:val="24"/>
              </w:rPr>
              <w:t>100%</w:t>
            </w:r>
          </w:p>
        </w:tc>
      </w:tr>
      <w:tr w:rsidR="008A43B1" w14:paraId="1A4EF4B4" w14:textId="77777777" w:rsidTr="008A43B1">
        <w:tc>
          <w:tcPr>
            <w:tcW w:w="3788" w:type="dxa"/>
          </w:tcPr>
          <w:p w14:paraId="4142B09F" w14:textId="5397C049" w:rsidR="008A43B1" w:rsidRDefault="008A43B1" w:rsidP="008A43B1">
            <w:pPr>
              <w:jc w:val="center"/>
              <w:rPr>
                <w:rFonts w:ascii="Garamond" w:hAnsi="Garamond"/>
                <w:sz w:val="24"/>
                <w:szCs w:val="24"/>
              </w:rPr>
            </w:pPr>
            <w:r>
              <w:rPr>
                <w:rFonts w:ascii="Garamond" w:hAnsi="Garamond"/>
                <w:sz w:val="24"/>
                <w:szCs w:val="24"/>
              </w:rPr>
              <w:t>2018-2019</w:t>
            </w:r>
          </w:p>
        </w:tc>
        <w:tc>
          <w:tcPr>
            <w:tcW w:w="3789" w:type="dxa"/>
          </w:tcPr>
          <w:p w14:paraId="367E8BD8" w14:textId="1770535F" w:rsidR="008A43B1" w:rsidRDefault="008A43B1" w:rsidP="008A43B1">
            <w:pPr>
              <w:jc w:val="center"/>
              <w:rPr>
                <w:rFonts w:ascii="Garamond" w:hAnsi="Garamond"/>
                <w:sz w:val="24"/>
                <w:szCs w:val="24"/>
              </w:rPr>
            </w:pPr>
            <w:r>
              <w:rPr>
                <w:rFonts w:ascii="Garamond" w:hAnsi="Garamond"/>
                <w:sz w:val="24"/>
                <w:szCs w:val="24"/>
              </w:rPr>
              <w:t>69</w:t>
            </w:r>
          </w:p>
        </w:tc>
        <w:tc>
          <w:tcPr>
            <w:tcW w:w="3789" w:type="dxa"/>
          </w:tcPr>
          <w:p w14:paraId="2FC7AD45" w14:textId="59BC1AC5" w:rsidR="008A43B1" w:rsidRDefault="008A43B1" w:rsidP="008A43B1">
            <w:pPr>
              <w:jc w:val="center"/>
              <w:rPr>
                <w:rFonts w:ascii="Garamond" w:hAnsi="Garamond"/>
                <w:sz w:val="24"/>
                <w:szCs w:val="24"/>
              </w:rPr>
            </w:pPr>
            <w:r>
              <w:rPr>
                <w:rFonts w:ascii="Garamond" w:hAnsi="Garamond"/>
                <w:sz w:val="24"/>
                <w:szCs w:val="24"/>
              </w:rPr>
              <w:t>100%</w:t>
            </w:r>
          </w:p>
        </w:tc>
      </w:tr>
    </w:tbl>
    <w:p w14:paraId="61D55125" w14:textId="77777777" w:rsidR="008A43B1" w:rsidRPr="008A43B1" w:rsidRDefault="008A43B1" w:rsidP="008A43B1">
      <w:pPr>
        <w:spacing w:after="0"/>
        <w:rPr>
          <w:rFonts w:ascii="Garamond" w:hAnsi="Garamond"/>
          <w:sz w:val="24"/>
          <w:szCs w:val="24"/>
        </w:rPr>
      </w:pPr>
    </w:p>
    <w:sectPr w:rsidR="008A43B1" w:rsidRPr="008A43B1" w:rsidSect="000D287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1"/>
    <w:rsid w:val="000D2871"/>
    <w:rsid w:val="001922CD"/>
    <w:rsid w:val="001C1DCC"/>
    <w:rsid w:val="001D5734"/>
    <w:rsid w:val="002278B4"/>
    <w:rsid w:val="007275F9"/>
    <w:rsid w:val="0089066B"/>
    <w:rsid w:val="008A1E37"/>
    <w:rsid w:val="008A43B1"/>
    <w:rsid w:val="00905CCC"/>
    <w:rsid w:val="009F6B5B"/>
    <w:rsid w:val="00B73A78"/>
    <w:rsid w:val="00D759C7"/>
    <w:rsid w:val="00FC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18C"/>
  <w15:chartTrackingRefBased/>
  <w15:docId w15:val="{35671275-19FC-476A-839F-F0F0B4A9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9985">
      <w:bodyDiv w:val="1"/>
      <w:marLeft w:val="0"/>
      <w:marRight w:val="0"/>
      <w:marTop w:val="0"/>
      <w:marBottom w:val="0"/>
      <w:divBdr>
        <w:top w:val="none" w:sz="0" w:space="0" w:color="auto"/>
        <w:left w:val="none" w:sz="0" w:space="0" w:color="auto"/>
        <w:bottom w:val="none" w:sz="0" w:space="0" w:color="auto"/>
        <w:right w:val="none" w:sz="0" w:space="0" w:color="auto"/>
      </w:divBdr>
    </w:div>
    <w:div w:id="5762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 Welch</dc:creator>
  <cp:keywords/>
  <dc:description/>
  <cp:lastModifiedBy>Patricia A. Thompson</cp:lastModifiedBy>
  <cp:revision>2</cp:revision>
  <cp:lastPrinted>2022-04-19T18:07:00Z</cp:lastPrinted>
  <dcterms:created xsi:type="dcterms:W3CDTF">2022-04-21T18:09:00Z</dcterms:created>
  <dcterms:modified xsi:type="dcterms:W3CDTF">2022-04-21T18:09:00Z</dcterms:modified>
</cp:coreProperties>
</file>