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D5F7F" w14:textId="5FB85C05" w:rsidR="00D61BC5" w:rsidRDefault="00F83A48" w:rsidP="00F83A4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E6157D6" wp14:editId="23547BC9">
            <wp:extent cx="2825496" cy="740664"/>
            <wp:effectExtent l="0" t="0" r="0" b="2540"/>
            <wp:docPr id="1898601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96" cy="74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49980" w14:textId="18307D15" w:rsidR="009808EB" w:rsidRPr="009253DC" w:rsidRDefault="006C2941" w:rsidP="00F231A2">
      <w:pPr>
        <w:spacing w:after="0" w:line="240" w:lineRule="auto"/>
        <w:rPr>
          <w:b/>
          <w:bCs/>
        </w:rPr>
      </w:pPr>
      <w:r w:rsidRPr="009253DC">
        <w:rPr>
          <w:b/>
          <w:bCs/>
        </w:rPr>
        <w:t xml:space="preserve">Quick Guide </w:t>
      </w:r>
    </w:p>
    <w:p w14:paraId="6E480033" w14:textId="36049FC4" w:rsidR="009253DC" w:rsidRDefault="009253DC" w:rsidP="00F231A2">
      <w:pPr>
        <w:spacing w:after="0" w:line="240" w:lineRule="auto"/>
        <w:rPr>
          <w:rFonts w:cs="Segoe UI"/>
          <w:color w:val="0D0D0D"/>
          <w:shd w:val="clear" w:color="auto" w:fill="FFFFFF"/>
        </w:rPr>
      </w:pPr>
      <w:r w:rsidRPr="009253DC">
        <w:t>Focus</w:t>
      </w:r>
      <w:r w:rsidR="00D36918">
        <w:t xml:space="preserve"> </w:t>
      </w:r>
      <w:r w:rsidRPr="009253DC">
        <w:t xml:space="preserve">2 </w:t>
      </w:r>
      <w:r w:rsidRPr="009253DC">
        <w:rPr>
          <w:rFonts w:cs="Segoe UI"/>
          <w:color w:val="0D0D0D"/>
          <w:shd w:val="clear" w:color="auto" w:fill="FFFFFF"/>
        </w:rPr>
        <w:t>is an online career exploration and planning platform designed to help students make informed decisions about their future careers. Faculty can integrate Focus</w:t>
      </w:r>
      <w:r w:rsidR="00FD4E02">
        <w:rPr>
          <w:rFonts w:cs="Segoe UI"/>
          <w:color w:val="0D0D0D"/>
          <w:shd w:val="clear" w:color="auto" w:fill="FFFFFF"/>
        </w:rPr>
        <w:t xml:space="preserve"> 2</w:t>
      </w:r>
      <w:r w:rsidRPr="009253DC">
        <w:rPr>
          <w:rFonts w:cs="Segoe UI"/>
          <w:color w:val="0D0D0D"/>
          <w:shd w:val="clear" w:color="auto" w:fill="FFFFFF"/>
        </w:rPr>
        <w:t xml:space="preserve"> into their curriculum to provide students with access to self-assessment tools, career exploration resources, and job search skills training. By using Focus</w:t>
      </w:r>
      <w:r w:rsidR="00FD4E02">
        <w:rPr>
          <w:rFonts w:cs="Segoe UI"/>
          <w:color w:val="0D0D0D"/>
          <w:shd w:val="clear" w:color="auto" w:fill="FFFFFF"/>
        </w:rPr>
        <w:t xml:space="preserve"> </w:t>
      </w:r>
      <w:r w:rsidRPr="009253DC">
        <w:rPr>
          <w:rFonts w:cs="Segoe UI"/>
          <w:color w:val="0D0D0D"/>
          <w:shd w:val="clear" w:color="auto" w:fill="FFFFFF"/>
        </w:rPr>
        <w:t>2, faculty can help students explore career options, assess their strengths, set career goals, and develop job search skills.</w:t>
      </w:r>
    </w:p>
    <w:p w14:paraId="2FD6BB14" w14:textId="77777777" w:rsidR="00FD4E02" w:rsidRDefault="00FD4E02" w:rsidP="00FD4E02">
      <w:pPr>
        <w:spacing w:after="0" w:line="240" w:lineRule="auto"/>
        <w:rPr>
          <w:rFonts w:cs="Segoe UI"/>
          <w:color w:val="0D0D0D"/>
          <w:shd w:val="clear" w:color="auto" w:fill="FFFFFF"/>
        </w:rPr>
      </w:pPr>
    </w:p>
    <w:p w14:paraId="218194DB" w14:textId="7A9275FE" w:rsidR="00373571" w:rsidRDefault="00167072" w:rsidP="00167072">
      <w:pPr>
        <w:spacing w:after="0" w:line="240" w:lineRule="auto"/>
        <w:rPr>
          <w:b/>
          <w:bCs/>
        </w:rPr>
      </w:pPr>
      <w:r>
        <w:rPr>
          <w:b/>
          <w:bCs/>
        </w:rPr>
        <w:t>Features</w:t>
      </w:r>
    </w:p>
    <w:p w14:paraId="24A74951" w14:textId="6F0F5474" w:rsidR="00373571" w:rsidRPr="00373571" w:rsidRDefault="00373571" w:rsidP="001670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14:ligatures w14:val="none"/>
        </w:rPr>
      </w:pPr>
      <w:r w:rsidRPr="00373571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Career Exploration &amp; </w:t>
      </w:r>
      <w:r w:rsidR="00167072" w:rsidRPr="00575CAF">
        <w:rPr>
          <w:rFonts w:eastAsia="Times New Roman" w:cs="Calibri"/>
          <w:b/>
          <w:bCs/>
          <w:color w:val="000000"/>
          <w:kern w:val="0"/>
          <w14:ligatures w14:val="none"/>
        </w:rPr>
        <w:t>Decision</w:t>
      </w:r>
      <w:r w:rsidR="00575CA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="00167072" w:rsidRPr="00BE1E2A">
        <w:rPr>
          <w:rFonts w:eastAsia="Times New Roman" w:cs="Calibri"/>
          <w:color w:val="000000"/>
          <w:kern w:val="0"/>
          <w14:ligatures w14:val="none"/>
        </w:rPr>
        <w:t>-</w:t>
      </w:r>
      <w:r w:rsidR="00575CAF"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="00167072" w:rsidRPr="00BE1E2A">
        <w:rPr>
          <w:rFonts w:eastAsia="Times New Roman" w:cs="Calibri"/>
          <w:color w:val="000000"/>
          <w:kern w:val="0"/>
          <w14:ligatures w14:val="none"/>
        </w:rPr>
        <w:t>Making</w:t>
      </w:r>
      <w:r w:rsidRPr="00373571">
        <w:rPr>
          <w:rFonts w:eastAsia="Times New Roman" w:cs="Calibri"/>
          <w:color w:val="000000"/>
          <w:kern w:val="0"/>
          <w14:ligatures w14:val="none"/>
        </w:rPr>
        <w:t> </w:t>
      </w:r>
      <w:r w:rsidR="00504143">
        <w:rPr>
          <w:rFonts w:eastAsia="Times New Roman" w:cs="Calibri"/>
          <w:color w:val="000000"/>
          <w:kern w:val="0"/>
          <w14:ligatures w14:val="none"/>
        </w:rPr>
        <w:t>s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tudents’ assessment results </w:t>
      </w:r>
      <w:r w:rsidR="00575CAF" w:rsidRPr="00BE1E2A">
        <w:rPr>
          <w:rFonts w:eastAsia="Times New Roman" w:cs="Calibri"/>
          <w:color w:val="000000"/>
          <w:kern w:val="0"/>
          <w14:ligatures w14:val="none"/>
        </w:rPr>
        <w:t>match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 career options and supporting majors/programs at your college. Over 1000 occupations with up-to-date, detailed information. Tools for First Year Experience programs.</w:t>
      </w:r>
    </w:p>
    <w:p w14:paraId="40B47D05" w14:textId="1E211174" w:rsidR="00373571" w:rsidRPr="00373571" w:rsidRDefault="00373571" w:rsidP="001670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14:ligatures w14:val="none"/>
        </w:rPr>
      </w:pPr>
      <w:r w:rsidRPr="00373571">
        <w:rPr>
          <w:rFonts w:eastAsia="Times New Roman" w:cs="Calibri"/>
          <w:b/>
          <w:bCs/>
          <w:color w:val="000000"/>
          <w:kern w:val="0"/>
          <w14:ligatures w14:val="none"/>
        </w:rPr>
        <w:t>Career Planning Readiness</w:t>
      </w:r>
      <w:r w:rsidR="00575CA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="00575CAF">
        <w:rPr>
          <w:rFonts w:eastAsia="Times New Roman" w:cs="Calibri"/>
          <w:color w:val="000000"/>
          <w:kern w:val="0"/>
          <w14:ligatures w14:val="none"/>
        </w:rPr>
        <w:t xml:space="preserve">- </w:t>
      </w:r>
      <w:r w:rsidR="00167072" w:rsidRPr="00BE1E2A">
        <w:rPr>
          <w:rFonts w:eastAsia="Times New Roman" w:cs="Calibri"/>
          <w:color w:val="000000"/>
          <w:kern w:val="0"/>
          <w14:ligatures w14:val="none"/>
        </w:rPr>
        <w:t>Focus 2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 assesses students’ involvement in the career planning process and introduces activities that support career and education decision-making.</w:t>
      </w:r>
    </w:p>
    <w:p w14:paraId="672D056D" w14:textId="4561C315" w:rsidR="00373571" w:rsidRPr="00373571" w:rsidRDefault="00373571" w:rsidP="001670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14:ligatures w14:val="none"/>
        </w:rPr>
      </w:pPr>
      <w:r w:rsidRPr="00373571">
        <w:rPr>
          <w:rFonts w:eastAsia="Times New Roman" w:cs="Calibri"/>
          <w:b/>
          <w:bCs/>
          <w:color w:val="000000"/>
          <w:kern w:val="0"/>
          <w14:ligatures w14:val="none"/>
        </w:rPr>
        <w:t>Self- Assessments</w:t>
      </w:r>
      <w:r w:rsidRPr="00373571">
        <w:rPr>
          <w:rFonts w:eastAsia="Times New Roman" w:cs="Calibri"/>
          <w:color w:val="000000"/>
          <w:kern w:val="0"/>
          <w14:ligatures w14:val="none"/>
        </w:rPr>
        <w:t> </w:t>
      </w:r>
      <w:r w:rsidR="00575CAF">
        <w:rPr>
          <w:rFonts w:eastAsia="Times New Roman" w:cs="Calibri"/>
          <w:color w:val="000000"/>
          <w:kern w:val="0"/>
          <w14:ligatures w14:val="none"/>
        </w:rPr>
        <w:t xml:space="preserve">- 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Reliable and valid </w:t>
      </w:r>
      <w:r w:rsidRPr="00BE1E2A">
        <w:rPr>
          <w:rFonts w:eastAsia="Times New Roman" w:cs="Calibri"/>
          <w:color w:val="000000"/>
          <w:kern w:val="0"/>
          <w14:ligatures w14:val="none"/>
        </w:rPr>
        <w:t>research-based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 assessments. Students’ assessment results are matched to occupations and supporting majors at your college. Interests matched directly to your college’s major.</w:t>
      </w:r>
    </w:p>
    <w:p w14:paraId="453613EB" w14:textId="3CF7ACB2" w:rsidR="00373571" w:rsidRPr="00373571" w:rsidRDefault="00373571" w:rsidP="001670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14:ligatures w14:val="none"/>
        </w:rPr>
      </w:pPr>
      <w:r w:rsidRPr="00373571">
        <w:rPr>
          <w:rFonts w:eastAsia="Times New Roman" w:cs="Calibri"/>
          <w:b/>
          <w:bCs/>
          <w:color w:val="000000"/>
          <w:kern w:val="0"/>
          <w14:ligatures w14:val="none"/>
        </w:rPr>
        <w:t>Career Exploration</w:t>
      </w:r>
      <w:r w:rsidR="00504143" w:rsidRPr="00504143">
        <w:rPr>
          <w:rFonts w:eastAsia="Times New Roman" w:cs="Calibri"/>
          <w:color w:val="000000"/>
          <w:kern w:val="0"/>
          <w14:ligatures w14:val="none"/>
        </w:rPr>
        <w:t>-</w:t>
      </w:r>
      <w:r w:rsidR="00575CAF"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="00E62E02">
        <w:rPr>
          <w:rFonts w:eastAsia="Times New Roman" w:cs="Calibri"/>
          <w:color w:val="000000"/>
          <w:kern w:val="0"/>
          <w14:ligatures w14:val="none"/>
        </w:rPr>
        <w:t>Exploratory too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ls include “What Can I Do </w:t>
      </w:r>
      <w:r w:rsidR="001A284A">
        <w:rPr>
          <w:rFonts w:eastAsia="Times New Roman" w:cs="Calibri"/>
          <w:color w:val="000000"/>
          <w:kern w:val="0"/>
          <w14:ligatures w14:val="none"/>
        </w:rPr>
        <w:t>w</w:t>
      </w:r>
      <w:r w:rsidRPr="00373571">
        <w:rPr>
          <w:rFonts w:eastAsia="Times New Roman" w:cs="Calibri"/>
          <w:color w:val="000000"/>
          <w:kern w:val="0"/>
          <w14:ligatures w14:val="none"/>
        </w:rPr>
        <w:t>ith A Major In….</w:t>
      </w:r>
      <w:r w:rsidRPr="00BE1E2A">
        <w:rPr>
          <w:rFonts w:eastAsia="Times New Roman" w:cs="Calibri"/>
          <w:color w:val="000000"/>
          <w:kern w:val="0"/>
          <w14:ligatures w14:val="none"/>
        </w:rPr>
        <w:t>”</w:t>
      </w:r>
    </w:p>
    <w:p w14:paraId="46A6F8BC" w14:textId="1C5066EF" w:rsidR="00373571" w:rsidRPr="00373571" w:rsidRDefault="00373571" w:rsidP="001670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14:ligatures w14:val="none"/>
        </w:rPr>
      </w:pPr>
      <w:proofErr w:type="gramStart"/>
      <w:r w:rsidRPr="00504143">
        <w:rPr>
          <w:rFonts w:eastAsia="Times New Roman" w:cs="Calibri"/>
          <w:b/>
          <w:bCs/>
          <w:color w:val="000000"/>
          <w:kern w:val="0"/>
          <w14:ligatures w14:val="none"/>
        </w:rPr>
        <w:t>Take Action</w:t>
      </w:r>
      <w:proofErr w:type="gramEnd"/>
      <w:r w:rsidRPr="00504143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Plan</w:t>
      </w:r>
      <w:r w:rsidR="00504143">
        <w:rPr>
          <w:rFonts w:eastAsia="Times New Roman" w:cs="Calibri"/>
          <w:color w:val="000000"/>
          <w:kern w:val="0"/>
          <w14:ligatures w14:val="none"/>
        </w:rPr>
        <w:t>-</w:t>
      </w:r>
      <w:r w:rsidRPr="00373571">
        <w:rPr>
          <w:rFonts w:eastAsia="Times New Roman" w:cs="Calibri"/>
          <w:color w:val="000000"/>
          <w:kern w:val="0"/>
          <w14:ligatures w14:val="none"/>
        </w:rPr>
        <w:t> Students create a road map of their academic and career development activities.</w:t>
      </w:r>
    </w:p>
    <w:p w14:paraId="0EA12063" w14:textId="081179F1" w:rsidR="00373571" w:rsidRPr="00373571" w:rsidRDefault="00373571" w:rsidP="001670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14:ligatures w14:val="none"/>
        </w:rPr>
      </w:pPr>
      <w:r w:rsidRPr="00373571">
        <w:rPr>
          <w:rFonts w:eastAsia="Times New Roman" w:cs="Calibri"/>
          <w:b/>
          <w:bCs/>
          <w:color w:val="000000"/>
          <w:kern w:val="0"/>
          <w14:ligatures w14:val="none"/>
        </w:rPr>
        <w:t>Career Portfolio</w:t>
      </w:r>
      <w:r w:rsidRPr="00373571">
        <w:rPr>
          <w:rFonts w:eastAsia="Times New Roman" w:cs="Calibri"/>
          <w:color w:val="000000"/>
          <w:kern w:val="0"/>
          <w14:ligatures w14:val="none"/>
        </w:rPr>
        <w:t> </w:t>
      </w:r>
      <w:r w:rsidR="00575CAF">
        <w:rPr>
          <w:rFonts w:eastAsia="Times New Roman" w:cs="Calibri"/>
          <w:color w:val="000000"/>
          <w:kern w:val="0"/>
          <w14:ligatures w14:val="none"/>
        </w:rPr>
        <w:t xml:space="preserve">- 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Summarizes students’ assessment results with their preferred majors and occupations, and personal comments/rankings, </w:t>
      </w:r>
      <w:r w:rsidR="00E62E02" w:rsidRPr="00373571">
        <w:rPr>
          <w:rFonts w:eastAsia="Times New Roman" w:cs="Calibri"/>
          <w:color w:val="000000"/>
          <w:kern w:val="0"/>
          <w14:ligatures w14:val="none"/>
        </w:rPr>
        <w:t>goals,</w:t>
      </w:r>
      <w:r w:rsidRPr="00373571">
        <w:rPr>
          <w:rFonts w:eastAsia="Times New Roman" w:cs="Calibri"/>
          <w:color w:val="000000"/>
          <w:kern w:val="0"/>
          <w14:ligatures w14:val="none"/>
        </w:rPr>
        <w:t xml:space="preserve"> and achievements.</w:t>
      </w:r>
    </w:p>
    <w:p w14:paraId="56643282" w14:textId="6892B664" w:rsidR="00373571" w:rsidRPr="00373571" w:rsidRDefault="00373571" w:rsidP="001670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14:ligatures w14:val="none"/>
        </w:rPr>
      </w:pPr>
      <w:r w:rsidRPr="00373571">
        <w:rPr>
          <w:rFonts w:eastAsia="Times New Roman" w:cs="Calibri"/>
          <w:b/>
          <w:bCs/>
          <w:color w:val="000000"/>
          <w:kern w:val="0"/>
          <w14:ligatures w14:val="none"/>
        </w:rPr>
        <w:t>Real Time Student Results</w:t>
      </w:r>
      <w:r w:rsidR="00575CA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- </w:t>
      </w:r>
      <w:r w:rsidRPr="00373571">
        <w:rPr>
          <w:rFonts w:eastAsia="Times New Roman" w:cs="Calibri"/>
          <w:color w:val="000000"/>
          <w:kern w:val="0"/>
          <w14:ligatures w14:val="none"/>
        </w:rPr>
        <w:t>Dynamic administrative website with detailed user results, powerful aggregate usage reports, multiple administrators, and many customizing options.</w:t>
      </w:r>
    </w:p>
    <w:p w14:paraId="7B41F388" w14:textId="77777777" w:rsidR="00373571" w:rsidRDefault="00373571" w:rsidP="00F231A2">
      <w:pPr>
        <w:spacing w:after="0" w:line="240" w:lineRule="auto"/>
        <w:rPr>
          <w:b/>
          <w:bCs/>
        </w:rPr>
      </w:pPr>
    </w:p>
    <w:p w14:paraId="3BDDA48D" w14:textId="60D58AFD" w:rsidR="00F231A2" w:rsidRPr="00E4740E" w:rsidRDefault="00F231A2" w:rsidP="00F231A2">
      <w:pPr>
        <w:spacing w:after="0" w:line="240" w:lineRule="auto"/>
        <w:rPr>
          <w:b/>
          <w:bCs/>
        </w:rPr>
      </w:pPr>
      <w:r w:rsidRPr="00E4740E">
        <w:rPr>
          <w:b/>
          <w:bCs/>
        </w:rPr>
        <w:t xml:space="preserve">Getting Started with </w:t>
      </w:r>
      <w:r w:rsidRPr="00F231A2">
        <w:rPr>
          <w:b/>
          <w:bCs/>
        </w:rPr>
        <w:t>Assessments</w:t>
      </w:r>
    </w:p>
    <w:p w14:paraId="2400E0FE" w14:textId="39EE1D7B" w:rsidR="00D36918" w:rsidRDefault="00D36918" w:rsidP="00F231A2">
      <w:pPr>
        <w:spacing w:after="0" w:line="240" w:lineRule="auto"/>
      </w:pPr>
      <w:r>
        <w:t xml:space="preserve">Students </w:t>
      </w:r>
      <w:r w:rsidR="00E4740E">
        <w:t>wil</w:t>
      </w:r>
      <w:r w:rsidR="00E4740E" w:rsidRPr="00D36918">
        <w:t>l</w:t>
      </w:r>
      <w:r w:rsidRPr="00D36918">
        <w:t xml:space="preserve"> be asked questions related to things </w:t>
      </w:r>
      <w:r w:rsidR="00E62E02">
        <w:t xml:space="preserve">with which they are </w:t>
      </w:r>
      <w:r w:rsidRPr="00D36918">
        <w:t>already familiar</w:t>
      </w:r>
      <w:r w:rsidR="00E62E02">
        <w:t>,</w:t>
      </w:r>
      <w:r w:rsidRPr="00D36918">
        <w:t xml:space="preserve"> such as </w:t>
      </w:r>
      <w:r w:rsidR="00E62E02">
        <w:t>their</w:t>
      </w:r>
      <w:r w:rsidRPr="00D36918">
        <w:t xml:space="preserve"> personality, life preferences, and more.  After just 30-40 minutes, </w:t>
      </w:r>
      <w:r>
        <w:t>students</w:t>
      </w:r>
      <w:r w:rsidRPr="00D36918">
        <w:t xml:space="preserve"> will be </w:t>
      </w:r>
      <w:r w:rsidR="00802A37" w:rsidRPr="00D36918">
        <w:t>provided with</w:t>
      </w:r>
      <w:r w:rsidRPr="00D36918">
        <w:t xml:space="preserve"> a customized list of possible career aspirations</w:t>
      </w:r>
      <w:r w:rsidR="00E62E02">
        <w:t>, have</w:t>
      </w:r>
      <w:r w:rsidRPr="00D36918">
        <w:t> </w:t>
      </w:r>
      <w:r w:rsidR="00E62E02">
        <w:t>a</w:t>
      </w:r>
      <w:r w:rsidRPr="00D36918">
        <w:t xml:space="preserve"> deeper understanding of </w:t>
      </w:r>
      <w:r>
        <w:t>se</w:t>
      </w:r>
      <w:r w:rsidRPr="00D36918">
        <w:t>lf</w:t>
      </w:r>
      <w:r w:rsidR="00E62E02">
        <w:t>,</w:t>
      </w:r>
      <w:r w:rsidRPr="00D36918">
        <w:t xml:space="preserve"> </w:t>
      </w:r>
      <w:r>
        <w:t>and</w:t>
      </w:r>
      <w:r w:rsidRPr="00D36918">
        <w:t xml:space="preserve"> the confidence to make more informed decisions</w:t>
      </w:r>
      <w:r>
        <w:t>.</w:t>
      </w:r>
    </w:p>
    <w:p w14:paraId="06E9DD7F" w14:textId="77777777" w:rsidR="00D36918" w:rsidRPr="00F231A2" w:rsidRDefault="00D36918" w:rsidP="00F231A2">
      <w:pPr>
        <w:spacing w:after="0" w:line="240" w:lineRule="auto"/>
      </w:pPr>
    </w:p>
    <w:p w14:paraId="40FE870B" w14:textId="15989CA8" w:rsidR="00F231A2" w:rsidRPr="00F231A2" w:rsidRDefault="00F231A2" w:rsidP="00F231A2">
      <w:pPr>
        <w:numPr>
          <w:ilvl w:val="0"/>
          <w:numId w:val="6"/>
        </w:numPr>
        <w:spacing w:after="0" w:line="240" w:lineRule="auto"/>
      </w:pPr>
      <w:r w:rsidRPr="00F231A2">
        <w:t>Once logged in, begin by taking the </w:t>
      </w:r>
      <w:r w:rsidRPr="00F231A2">
        <w:rPr>
          <w:b/>
          <w:bCs/>
        </w:rPr>
        <w:t xml:space="preserve">Career Planning </w:t>
      </w:r>
      <w:r w:rsidR="00E62E02">
        <w:rPr>
          <w:b/>
          <w:bCs/>
        </w:rPr>
        <w:t>Involvement,</w:t>
      </w:r>
      <w:r w:rsidRPr="00F231A2">
        <w:t> </w:t>
      </w:r>
      <w:r w:rsidRPr="00F231A2">
        <w:rPr>
          <w:b/>
          <w:bCs/>
        </w:rPr>
        <w:t>Academic Strengths</w:t>
      </w:r>
      <w:r w:rsidR="00E62E02">
        <w:rPr>
          <w:b/>
          <w:bCs/>
        </w:rPr>
        <w:t>, and Career Readiness</w:t>
      </w:r>
      <w:r w:rsidRPr="00F231A2">
        <w:t> assessments.</w:t>
      </w:r>
    </w:p>
    <w:p w14:paraId="7F8F9852" w14:textId="44AF8C5B" w:rsidR="00F231A2" w:rsidRPr="00F231A2" w:rsidRDefault="00F231A2" w:rsidP="00F231A2">
      <w:pPr>
        <w:numPr>
          <w:ilvl w:val="0"/>
          <w:numId w:val="6"/>
        </w:numPr>
        <w:spacing w:after="0" w:line="240" w:lineRule="auto"/>
      </w:pPr>
      <w:r w:rsidRPr="00F231A2">
        <w:t>Then take the </w:t>
      </w:r>
      <w:r w:rsidRPr="00F231A2">
        <w:rPr>
          <w:b/>
          <w:bCs/>
        </w:rPr>
        <w:t>Personality</w:t>
      </w:r>
      <w:r w:rsidRPr="00F231A2">
        <w:t>, </w:t>
      </w:r>
      <w:r w:rsidRPr="00F231A2">
        <w:rPr>
          <w:b/>
          <w:bCs/>
        </w:rPr>
        <w:t>Work Interests</w:t>
      </w:r>
      <w:r w:rsidRPr="00F231A2">
        <w:t>, </w:t>
      </w:r>
      <w:r w:rsidRPr="00F231A2">
        <w:rPr>
          <w:b/>
          <w:bCs/>
        </w:rPr>
        <w:t>Skills</w:t>
      </w:r>
      <w:r w:rsidR="00E62E02">
        <w:rPr>
          <w:b/>
          <w:bCs/>
        </w:rPr>
        <w:t>,</w:t>
      </w:r>
      <w:r w:rsidRPr="00F231A2">
        <w:t> </w:t>
      </w:r>
      <w:r w:rsidRPr="00F231A2">
        <w:rPr>
          <w:b/>
          <w:bCs/>
        </w:rPr>
        <w:t>Values</w:t>
      </w:r>
      <w:r w:rsidR="00E62E02">
        <w:rPr>
          <w:b/>
          <w:bCs/>
        </w:rPr>
        <w:t>, and Leisure</w:t>
      </w:r>
      <w:r w:rsidRPr="00F231A2">
        <w:rPr>
          <w:b/>
          <w:bCs/>
        </w:rPr>
        <w:t> </w:t>
      </w:r>
      <w:r w:rsidRPr="00F231A2">
        <w:t>assessments</w:t>
      </w:r>
      <w:r w:rsidR="00E4740E">
        <w:t>.</w:t>
      </w:r>
    </w:p>
    <w:p w14:paraId="42D36E23" w14:textId="4D349845" w:rsidR="00F231A2" w:rsidRPr="00F231A2" w:rsidRDefault="00E62E02" w:rsidP="00F231A2">
      <w:pPr>
        <w:numPr>
          <w:ilvl w:val="0"/>
          <w:numId w:val="6"/>
        </w:numPr>
        <w:spacing w:after="0" w:line="240" w:lineRule="auto"/>
      </w:pPr>
      <w:r>
        <w:t xml:space="preserve">Combine all </w:t>
      </w:r>
      <w:r w:rsidR="00F231A2" w:rsidRPr="00F231A2">
        <w:t xml:space="preserve">the results </w:t>
      </w:r>
      <w:r>
        <w:t>in</w:t>
      </w:r>
      <w:r w:rsidR="00F231A2" w:rsidRPr="00F231A2">
        <w:t> </w:t>
      </w:r>
      <w:r w:rsidR="00F231A2" w:rsidRPr="00F231A2">
        <w:rPr>
          <w:b/>
          <w:bCs/>
        </w:rPr>
        <w:t>Combined Assessments</w:t>
      </w:r>
      <w:r w:rsidR="001A284A">
        <w:rPr>
          <w:b/>
          <w:bCs/>
        </w:rPr>
        <w:t>.</w:t>
      </w:r>
    </w:p>
    <w:p w14:paraId="4435015E" w14:textId="1F64E57D" w:rsidR="00F231A2" w:rsidRPr="00F231A2" w:rsidRDefault="00F231A2" w:rsidP="00F231A2">
      <w:pPr>
        <w:numPr>
          <w:ilvl w:val="0"/>
          <w:numId w:val="6"/>
        </w:numPr>
        <w:spacing w:after="0" w:line="240" w:lineRule="auto"/>
      </w:pPr>
      <w:r w:rsidRPr="00F231A2">
        <w:t>Click on the list of matched careers and begin researching the most current information on industries</w:t>
      </w:r>
      <w:r w:rsidR="00E4740E">
        <w:t>.</w:t>
      </w:r>
    </w:p>
    <w:p w14:paraId="1351BD9A" w14:textId="77777777" w:rsidR="007E5461" w:rsidRDefault="007E5461"/>
    <w:p w14:paraId="50CC4955" w14:textId="0355C9A3" w:rsidR="007E5461" w:rsidRDefault="00DE5C86" w:rsidP="001B593F">
      <w:pPr>
        <w:spacing w:after="0" w:line="240" w:lineRule="auto"/>
      </w:pPr>
      <w:r>
        <w:t>Video tutorial available:</w:t>
      </w:r>
    </w:p>
    <w:p w14:paraId="632CBF9A" w14:textId="6C1DD891" w:rsidR="00DE5C86" w:rsidRDefault="006B7CCA" w:rsidP="001B593F">
      <w:pPr>
        <w:spacing w:after="0" w:line="240" w:lineRule="auto"/>
        <w:rPr>
          <w:rStyle w:val="Hyperlink"/>
          <w:b/>
          <w:bCs/>
        </w:rPr>
      </w:pPr>
      <w:hyperlink r:id="rId8" w:history="1">
        <w:r w:rsidR="00DE5C86" w:rsidRPr="00A568CC">
          <w:rPr>
            <w:rStyle w:val="Hyperlink"/>
            <w:b/>
            <w:bCs/>
          </w:rPr>
          <w:t>Watch a tour on what FOCUS 2 CAREER is all about.</w:t>
        </w:r>
      </w:hyperlink>
    </w:p>
    <w:p w14:paraId="52DCB2F6" w14:textId="77777777" w:rsidR="00EB18B0" w:rsidRDefault="00EB18B0" w:rsidP="001B593F">
      <w:pPr>
        <w:spacing w:after="0" w:line="240" w:lineRule="auto"/>
        <w:rPr>
          <w:rStyle w:val="Hyperlink"/>
          <w:b/>
          <w:bCs/>
        </w:rPr>
      </w:pPr>
    </w:p>
    <w:p w14:paraId="2DF3D268" w14:textId="1D40BC1B" w:rsidR="00EB18B0" w:rsidRPr="00A568CC" w:rsidRDefault="006B7CCA" w:rsidP="001B593F">
      <w:pPr>
        <w:spacing w:after="0" w:line="240" w:lineRule="auto"/>
        <w:rPr>
          <w:b/>
          <w:bCs/>
        </w:rPr>
      </w:pPr>
      <w:hyperlink r:id="rId9" w:history="1">
        <w:r w:rsidR="00EB18B0" w:rsidRPr="00C7584C">
          <w:rPr>
            <w:rStyle w:val="Hyperlink"/>
            <w:b/>
            <w:bCs/>
          </w:rPr>
          <w:t>Join a Focus2 Webinar</w:t>
        </w:r>
      </w:hyperlink>
    </w:p>
    <w:p w14:paraId="79AEABC1" w14:textId="77777777" w:rsidR="007E5461" w:rsidRDefault="007E5461"/>
    <w:p w14:paraId="5CF47786" w14:textId="5195F5E6" w:rsidR="00802A37" w:rsidRDefault="00802A37" w:rsidP="00802A37">
      <w:pPr>
        <w:jc w:val="center"/>
      </w:pPr>
    </w:p>
    <w:p w14:paraId="6EEDACA8" w14:textId="3CC43386" w:rsidR="00802A37" w:rsidRDefault="00802A37">
      <w:pPr>
        <w:rPr>
          <w:b/>
          <w:bCs/>
        </w:rPr>
      </w:pPr>
    </w:p>
    <w:p w14:paraId="2598DA08" w14:textId="45023956" w:rsidR="00265CB3" w:rsidRDefault="00EB18B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140264" wp14:editId="4DC93671">
            <wp:simplePos x="0" y="0"/>
            <wp:positionH relativeFrom="column">
              <wp:posOffset>1762125</wp:posOffset>
            </wp:positionH>
            <wp:positionV relativeFrom="paragraph">
              <wp:posOffset>-168275</wp:posOffset>
            </wp:positionV>
            <wp:extent cx="2822575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1430" y="21191"/>
                <wp:lineTo x="21430" y="0"/>
                <wp:lineTo x="0" y="0"/>
              </wp:wrapPolygon>
            </wp:wrapTight>
            <wp:docPr id="1107095991" name="Picture 5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95991" name="Picture 5" descr="A blue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9C59A6" w14:textId="77777777" w:rsidR="00F83A48" w:rsidRDefault="00F83A48" w:rsidP="006B7CCA">
      <w:pPr>
        <w:rPr>
          <w:b/>
          <w:bCs/>
        </w:rPr>
      </w:pPr>
    </w:p>
    <w:sectPr w:rsidR="00F83A48" w:rsidSect="00F03C9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C88DB" w14:textId="77777777" w:rsidR="00F03C93" w:rsidRDefault="00F03C93" w:rsidP="00802A37">
      <w:pPr>
        <w:spacing w:after="0" w:line="240" w:lineRule="auto"/>
      </w:pPr>
      <w:r>
        <w:separator/>
      </w:r>
    </w:p>
  </w:endnote>
  <w:endnote w:type="continuationSeparator" w:id="0">
    <w:p w14:paraId="2E8F2A31" w14:textId="77777777" w:rsidR="00F03C93" w:rsidRDefault="00F03C93" w:rsidP="008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F0CE1" w14:textId="262DDF17" w:rsidR="00802A37" w:rsidRDefault="00802A37">
    <w:pPr>
      <w:pStyle w:val="Footer"/>
    </w:pPr>
    <w:r>
      <w:tab/>
    </w:r>
    <w:r>
      <w:tab/>
    </w:r>
    <w:r>
      <w:tab/>
    </w:r>
    <w:r>
      <w:rPr>
        <w:noProof/>
      </w:rPr>
      <w:drawing>
        <wp:inline distT="0" distB="0" distL="0" distR="0" wp14:anchorId="093C9F70" wp14:editId="5150C9A4">
          <wp:extent cx="426720" cy="426720"/>
          <wp:effectExtent l="0" t="0" r="0" b="0"/>
          <wp:docPr id="162387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02D2C" w14:textId="77777777" w:rsidR="00F03C93" w:rsidRDefault="00F03C93" w:rsidP="00802A37">
      <w:pPr>
        <w:spacing w:after="0" w:line="240" w:lineRule="auto"/>
      </w:pPr>
      <w:r>
        <w:separator/>
      </w:r>
    </w:p>
  </w:footnote>
  <w:footnote w:type="continuationSeparator" w:id="0">
    <w:p w14:paraId="021A117F" w14:textId="77777777" w:rsidR="00F03C93" w:rsidRDefault="00F03C93" w:rsidP="00802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EFA"/>
    <w:multiLevelType w:val="multilevel"/>
    <w:tmpl w:val="9BA2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275F2"/>
    <w:multiLevelType w:val="multilevel"/>
    <w:tmpl w:val="09B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FE7268"/>
    <w:multiLevelType w:val="multilevel"/>
    <w:tmpl w:val="973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9C3C16"/>
    <w:multiLevelType w:val="multilevel"/>
    <w:tmpl w:val="92F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9C01CE"/>
    <w:multiLevelType w:val="hybridMultilevel"/>
    <w:tmpl w:val="C424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0616"/>
    <w:multiLevelType w:val="multilevel"/>
    <w:tmpl w:val="3F2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5362C"/>
    <w:multiLevelType w:val="hybridMultilevel"/>
    <w:tmpl w:val="E168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5659">
    <w:abstractNumId w:val="4"/>
  </w:num>
  <w:num w:numId="2" w16cid:durableId="1477069298">
    <w:abstractNumId w:val="6"/>
  </w:num>
  <w:num w:numId="3" w16cid:durableId="1789659364">
    <w:abstractNumId w:val="2"/>
  </w:num>
  <w:num w:numId="4" w16cid:durableId="395861254">
    <w:abstractNumId w:val="1"/>
  </w:num>
  <w:num w:numId="5" w16cid:durableId="86007206">
    <w:abstractNumId w:val="3"/>
  </w:num>
  <w:num w:numId="6" w16cid:durableId="1828789403">
    <w:abstractNumId w:val="0"/>
  </w:num>
  <w:num w:numId="7" w16cid:durableId="676155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41"/>
    <w:rsid w:val="00062459"/>
    <w:rsid w:val="00167072"/>
    <w:rsid w:val="001727A7"/>
    <w:rsid w:val="001A284A"/>
    <w:rsid w:val="001B593F"/>
    <w:rsid w:val="00265CB3"/>
    <w:rsid w:val="00361C15"/>
    <w:rsid w:val="00373571"/>
    <w:rsid w:val="00474132"/>
    <w:rsid w:val="00504143"/>
    <w:rsid w:val="00516165"/>
    <w:rsid w:val="00575CAF"/>
    <w:rsid w:val="006530F1"/>
    <w:rsid w:val="006B7CCA"/>
    <w:rsid w:val="006C2941"/>
    <w:rsid w:val="007E5461"/>
    <w:rsid w:val="00802A37"/>
    <w:rsid w:val="0084652E"/>
    <w:rsid w:val="00890F12"/>
    <w:rsid w:val="008E5B0B"/>
    <w:rsid w:val="009078D4"/>
    <w:rsid w:val="009253DC"/>
    <w:rsid w:val="009808EB"/>
    <w:rsid w:val="009F7D6E"/>
    <w:rsid w:val="00A568CC"/>
    <w:rsid w:val="00BE1E2A"/>
    <w:rsid w:val="00C03372"/>
    <w:rsid w:val="00C42760"/>
    <w:rsid w:val="00C7584C"/>
    <w:rsid w:val="00CB788A"/>
    <w:rsid w:val="00CF1A6C"/>
    <w:rsid w:val="00D36918"/>
    <w:rsid w:val="00D61BC5"/>
    <w:rsid w:val="00DB0413"/>
    <w:rsid w:val="00DE5C86"/>
    <w:rsid w:val="00E0471D"/>
    <w:rsid w:val="00E0620C"/>
    <w:rsid w:val="00E4740E"/>
    <w:rsid w:val="00E62E02"/>
    <w:rsid w:val="00EB18B0"/>
    <w:rsid w:val="00ED2022"/>
    <w:rsid w:val="00F03C93"/>
    <w:rsid w:val="00F231A2"/>
    <w:rsid w:val="00F40759"/>
    <w:rsid w:val="00F83A48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1B2FC"/>
  <w15:chartTrackingRefBased/>
  <w15:docId w15:val="{2293E6B6-19FE-4C1B-96A8-70955A2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9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9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9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2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37"/>
  </w:style>
  <w:style w:type="paragraph" w:styleId="Footer">
    <w:name w:val="footer"/>
    <w:basedOn w:val="Normal"/>
    <w:link w:val="FooterChar"/>
    <w:uiPriority w:val="99"/>
    <w:unhideWhenUsed/>
    <w:rsid w:val="00802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_P-gUli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ocus2career.com/Webinars.cf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L. Nestor</dc:creator>
  <cp:keywords/>
  <dc:description/>
  <cp:lastModifiedBy>Amy L. Nestor</cp:lastModifiedBy>
  <cp:revision>7</cp:revision>
  <dcterms:created xsi:type="dcterms:W3CDTF">2024-07-18T17:55:00Z</dcterms:created>
  <dcterms:modified xsi:type="dcterms:W3CDTF">2024-08-15T18:12:00Z</dcterms:modified>
</cp:coreProperties>
</file>